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B" w:rsidRPr="000A37DB" w:rsidRDefault="000A37DB" w:rsidP="000A37DB">
      <w:pPr>
        <w:pStyle w:val="Ttulo1"/>
      </w:pPr>
      <w:r w:rsidRPr="000A37DB">
        <w:t>objeTIVO</w:t>
      </w:r>
    </w:p>
    <w:p w:rsidR="000A37DB" w:rsidRPr="00C35950" w:rsidRDefault="000A37DB" w:rsidP="000A37DB">
      <w:p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Entregar los lineamientos para la aceptación </w:t>
      </w:r>
      <w:r w:rsidR="007A69C5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o rechazo de la </w:t>
      </w:r>
      <w:r w:rsidR="00C35950">
        <w:rPr>
          <w:rFonts w:ascii="Arial" w:eastAsia="Times New Roman" w:hAnsi="Arial" w:cs="Arial"/>
          <w:color w:val="343434"/>
          <w:szCs w:val="27"/>
          <w:lang w:val="es-CL" w:eastAsia="es-ES"/>
        </w:rPr>
        <w:t>cesión</w:t>
      </w:r>
      <w:r w:rsidR="007A69C5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="00C35950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de los documentos tributarios </w:t>
      </w:r>
      <w:r w:rsidR="00C35950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“Factoring”</w:t>
      </w:r>
      <w:r w:rsidR="00E419E1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 xml:space="preserve"> </w:t>
      </w:r>
      <w:r w:rsidR="00C35950">
        <w:rPr>
          <w:rFonts w:ascii="Arial" w:eastAsia="Times New Roman" w:hAnsi="Arial" w:cs="Arial"/>
          <w:color w:val="343434"/>
          <w:szCs w:val="27"/>
          <w:lang w:val="es-CL" w:eastAsia="es-ES"/>
        </w:rPr>
        <w:t>de Compra emitidos a Mutual, los cuales serán controlados y visados</w:t>
      </w:r>
      <w:r w:rsidRP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por la Unidad </w:t>
      </w:r>
      <w:r w:rsidR="00E419E1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de </w:t>
      </w:r>
      <w:r w:rsidRP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Control Pago. </w:t>
      </w:r>
    </w:p>
    <w:p w:rsidR="00E07BF8" w:rsidRDefault="000A37DB" w:rsidP="000A37DB">
      <w:pPr>
        <w:pStyle w:val="Ttulo1"/>
      </w:pPr>
      <w:r>
        <w:t>ALCANCE</w:t>
      </w:r>
    </w:p>
    <w:p w:rsidR="000A37DB" w:rsidRDefault="000A37DB" w:rsidP="00E07BF8">
      <w:pPr>
        <w:spacing w:after="225" w:line="408" w:lineRule="auto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Para todos los Proveedores y Prestadores de Servicio de Mutual</w:t>
      </w:r>
      <w:r w:rsidR="00E419E1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 Seguridad CCHC.</w:t>
      </w:r>
    </w:p>
    <w:p w:rsidR="00C35950" w:rsidRDefault="00C35950" w:rsidP="00C35950">
      <w:pPr>
        <w:pStyle w:val="Ttulo1"/>
      </w:pPr>
      <w:r>
        <w:t>DEFINICIONES</w:t>
      </w:r>
    </w:p>
    <w:p w:rsidR="00C35950" w:rsidRPr="000C6A2C" w:rsidRDefault="00C35950" w:rsidP="000C6A2C">
      <w:pPr>
        <w:pStyle w:val="Prrafodelista"/>
        <w:numPr>
          <w:ilvl w:val="0"/>
          <w:numId w:val="10"/>
        </w:numPr>
        <w:rPr>
          <w:lang w:val="es-ES_tradnl" w:eastAsia="es-ES"/>
        </w:rPr>
      </w:pPr>
      <w:r w:rsidRPr="000C6A2C">
        <w:rPr>
          <w:b/>
          <w:lang w:val="es-ES_tradnl" w:eastAsia="es-ES"/>
        </w:rPr>
        <w:t>Documento Cedido</w:t>
      </w:r>
      <w:r w:rsidRPr="000C6A2C">
        <w:rPr>
          <w:lang w:val="es-ES_tradnl" w:eastAsia="es-ES"/>
        </w:rPr>
        <w:t>:</w:t>
      </w:r>
      <w:r w:rsidR="00994369" w:rsidRPr="000C6A2C">
        <w:rPr>
          <w:lang w:val="es-ES_tradnl" w:eastAsia="es-ES"/>
        </w:rPr>
        <w:t xml:space="preserve"> Corresponde a la información que describe una cesión del documento </w:t>
      </w:r>
      <w:r w:rsidR="000C6A2C" w:rsidRPr="000C6A2C">
        <w:rPr>
          <w:lang w:val="es-ES_tradnl" w:eastAsia="es-ES"/>
        </w:rPr>
        <w:t>manua</w:t>
      </w:r>
      <w:r w:rsidR="00994369" w:rsidRPr="000C6A2C">
        <w:rPr>
          <w:lang w:val="es-ES_tradnl" w:eastAsia="es-ES"/>
        </w:rPr>
        <w:t>l o DTE (cedente, cesionario, etc)</w:t>
      </w:r>
      <w:r w:rsidR="000C6A2C" w:rsidRPr="000C6A2C">
        <w:rPr>
          <w:lang w:val="es-ES_tradnl" w:eastAsia="es-ES"/>
        </w:rPr>
        <w:t>.</w:t>
      </w:r>
    </w:p>
    <w:p w:rsidR="00C35950" w:rsidRPr="000C6A2C" w:rsidRDefault="00C35950" w:rsidP="000C6A2C">
      <w:pPr>
        <w:pStyle w:val="Prrafodelista"/>
        <w:numPr>
          <w:ilvl w:val="0"/>
          <w:numId w:val="10"/>
        </w:numPr>
        <w:rPr>
          <w:lang w:val="es-ES_tradnl" w:eastAsia="es-ES"/>
        </w:rPr>
      </w:pPr>
      <w:r w:rsidRPr="000C6A2C">
        <w:rPr>
          <w:b/>
          <w:lang w:val="es-ES_tradnl" w:eastAsia="es-ES"/>
        </w:rPr>
        <w:t>Cedente</w:t>
      </w:r>
      <w:r w:rsidRPr="000C6A2C">
        <w:rPr>
          <w:lang w:val="es-ES_tradnl" w:eastAsia="es-ES"/>
        </w:rPr>
        <w:t>: Corresponde al emisor del documento</w:t>
      </w:r>
      <w:r w:rsidR="00994369" w:rsidRPr="000C6A2C">
        <w:rPr>
          <w:lang w:val="es-ES_tradnl" w:eastAsia="es-ES"/>
        </w:rPr>
        <w:t xml:space="preserve"> tributario</w:t>
      </w:r>
      <w:r w:rsidR="000C6A2C">
        <w:rPr>
          <w:lang w:val="es-ES_tradnl" w:eastAsia="es-ES"/>
        </w:rPr>
        <w:t>. Corresponde al Proveedor</w:t>
      </w:r>
    </w:p>
    <w:p w:rsidR="00C35950" w:rsidRPr="000C6A2C" w:rsidRDefault="00C35950" w:rsidP="000C6A2C">
      <w:pPr>
        <w:pStyle w:val="Prrafodelista"/>
        <w:numPr>
          <w:ilvl w:val="0"/>
          <w:numId w:val="10"/>
        </w:numPr>
        <w:rPr>
          <w:lang w:val="es-ES_tradnl" w:eastAsia="es-ES"/>
        </w:rPr>
      </w:pPr>
      <w:r w:rsidRPr="000C6A2C">
        <w:rPr>
          <w:b/>
          <w:lang w:val="es-ES_tradnl" w:eastAsia="es-ES"/>
        </w:rPr>
        <w:t>Cesionario</w:t>
      </w:r>
      <w:r w:rsidR="00994369" w:rsidRPr="000C6A2C">
        <w:rPr>
          <w:b/>
          <w:lang w:val="es-ES_tradnl" w:eastAsia="es-ES"/>
        </w:rPr>
        <w:t>:</w:t>
      </w:r>
      <w:r w:rsidR="00994369" w:rsidRPr="000C6A2C">
        <w:rPr>
          <w:lang w:val="es-ES_tradnl" w:eastAsia="es-ES"/>
        </w:rPr>
        <w:t xml:space="preserve"> La persona o empresa a la cual se hace la cesión de bienes, el traspaso de un crédito o la transmisión de cualesquiera otros derechos.</w:t>
      </w:r>
      <w:r w:rsidR="000C6A2C">
        <w:rPr>
          <w:lang w:val="es-ES_tradnl" w:eastAsia="es-ES"/>
        </w:rPr>
        <w:t xml:space="preserve"> Corresponde a la empresa de Facturan</w:t>
      </w:r>
    </w:p>
    <w:p w:rsidR="00C35950" w:rsidRPr="000C6A2C" w:rsidRDefault="000C6A2C" w:rsidP="000C6A2C">
      <w:pPr>
        <w:pStyle w:val="Prrafodelista"/>
        <w:numPr>
          <w:ilvl w:val="0"/>
          <w:numId w:val="10"/>
        </w:numPr>
        <w:rPr>
          <w:lang w:val="es-ES_tradnl" w:eastAsia="es-ES"/>
        </w:rPr>
      </w:pPr>
      <w:r w:rsidRPr="000C6A2C">
        <w:rPr>
          <w:b/>
          <w:lang w:val="es-ES_tradnl" w:eastAsia="es-ES"/>
        </w:rPr>
        <w:t>Cesión:</w:t>
      </w:r>
      <w:r w:rsidRPr="000C6A2C">
        <w:rPr>
          <w:rStyle w:val="Ttulo1Car"/>
          <w:rFonts w:eastAsiaTheme="minorHAnsi" w:cs="Arial"/>
          <w:color w:val="545454"/>
          <w:lang w:val="es-CL"/>
        </w:rPr>
        <w:t xml:space="preserve"> </w:t>
      </w:r>
      <w:r w:rsidRPr="000C6A2C">
        <w:rPr>
          <w:lang w:val="es-ES_tradnl" w:eastAsia="es-ES"/>
        </w:rPr>
        <w:t>es un contrato por medio del cual se transmiten el derecho o derechos con respecto a una obligación que tiene el sujeto acreedor</w:t>
      </w:r>
      <w:r>
        <w:rPr>
          <w:lang w:val="es-ES_tradnl" w:eastAsia="es-ES"/>
        </w:rPr>
        <w:t>. Debe contener fecha, declaración jurada, monto cedido y vencimiento.</w:t>
      </w:r>
    </w:p>
    <w:p w:rsidR="000A37DB" w:rsidRPr="000A37DB" w:rsidRDefault="000A37DB" w:rsidP="008B35A3">
      <w:pPr>
        <w:pStyle w:val="Ttulo1"/>
        <w:spacing w:after="225" w:line="408" w:lineRule="auto"/>
        <w:rPr>
          <w:rFonts w:cs="Arial"/>
          <w:color w:val="343434"/>
          <w:szCs w:val="27"/>
          <w:lang w:val="es-CL"/>
        </w:rPr>
      </w:pPr>
      <w:r>
        <w:t>procedimiento para uso de factoring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Mutual </w:t>
      </w:r>
      <w:r w:rsidR="007A69C5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de Seguridad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autoriza a sus proveedores de bienes y servicios para ceder, mediante el uso de </w:t>
      </w:r>
      <w:r w:rsidRPr="00E07BF8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F</w:t>
      </w:r>
      <w:r w:rsidR="00C35950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actoring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derechos a percibir el pago de facturas emitidas contra las </w:t>
      </w:r>
      <w:r w:rsidR="007A69C5">
        <w:rPr>
          <w:rFonts w:ascii="Arial" w:eastAsia="Times New Roman" w:hAnsi="Arial" w:cs="Arial"/>
          <w:color w:val="343434"/>
          <w:szCs w:val="27"/>
          <w:lang w:val="es-CL" w:eastAsia="es-ES"/>
        </w:rPr>
        <w:t>facturas de compra o documento tributario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, siempre que se cumplan con las exigencias definidas en la Ley 19.983, en especial la oportunidad y formalidad de notificación, según se indica: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a) El proveedor o</w:t>
      </w:r>
      <w:r w:rsid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Prestador del Servicio,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debe informar con antelación si efectuará o no cesión de los créditos contenidos en las facturas que emanen del Contrato u Orden de Compra, indicando el nombre de la o las empresas de factoring con las cuales operará en cada oportunidad en que efectúa la cesión de créditos contenidos en las facturas. En aquellos pagos acordados a 30 días se entenderá oportuna aquella información realizada al menos con 15 días de anticipación a la fecha de pago.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b)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="000A37DB" w:rsidRPr="000A37DB">
        <w:rPr>
          <w:rFonts w:ascii="Arial" w:eastAsia="Times New Roman" w:hAnsi="Arial" w:cs="Arial"/>
          <w:color w:val="343434"/>
          <w:szCs w:val="27"/>
          <w:lang w:val="es-CL" w:eastAsia="es-ES"/>
        </w:rPr>
        <w:t>Mutual de Seguridad</w:t>
      </w:r>
      <w:r w:rsid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se reserva el derecho de reclamar contra el contenido de la factura, en el plazo máximo de 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>8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días corridos contados desde 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>la recepción en el SII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, para los efectos del númer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>al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2 del artículo 3° de la Ley 19.983.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c) Toda cesión del crédito contenido en una</w:t>
      </w:r>
      <w:r w:rsidR="000A37DB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factura debe ser notificada a Mutual de Seguridad,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 acuerdo con lo establecido en el artículo 4° de la Ley 19.983, o en conformidad a lo establecido en los artículos 1.901 y siguientes del Código Civil, a objeto que pueda disponerse el pago al cesionario o ejercer, en su caso, los derechos que le otorga la Ley.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d) Además, la factura debe haber sido emitida de conformidad a las normas que rijan la emisión de la factura original, incluyendo en su cuerpo en forma destacada la mención </w:t>
      </w:r>
      <w:r w:rsidRPr="00E07BF8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"cedible",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y en la misma debe constar el recibo de las mercaderías entregadas o del servicio prestado, con la información y formalidades que se indicarán en la respectiva orden de compra o contrato.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br/>
      </w:r>
    </w:p>
    <w:p w:rsidR="00E07BF8" w:rsidRPr="00E07BF8" w:rsidRDefault="00E07BF8" w:rsidP="000A37DB">
      <w:pPr>
        <w:pStyle w:val="Ttulo1"/>
        <w:spacing w:after="225" w:line="408" w:lineRule="auto"/>
        <w:rPr>
          <w:rFonts w:cs="Arial"/>
          <w:color w:val="343434"/>
          <w:sz w:val="22"/>
          <w:szCs w:val="27"/>
          <w:lang w:val="es-CL"/>
        </w:rPr>
      </w:pPr>
      <w:r w:rsidRPr="00E07BF8">
        <w:t>CLÁUSULA SOBRE LA AUTORIZACIÓN DE CONTRATOS DE FACTORING</w:t>
      </w:r>
    </w:p>
    <w:p w:rsidR="00E07BF8" w:rsidRPr="000A37DB" w:rsidRDefault="00E07BF8" w:rsidP="000A37DB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0A37DB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SOBRE LA CESIÓN DE CONTRATOS U ORDENES DE COMPRA</w:t>
      </w:r>
    </w:p>
    <w:p w:rsidR="00E07BF8" w:rsidRPr="00E07BF8" w:rsidRDefault="000A37DB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El 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Proveedor 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o Prestador de Servicios 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no podrá ceder, transferir o traspasar en forma alguna, total ni parcialmente los derechos y obligaciones establecidos en el contrato u orden de compra, ni constituir sobre ella garantías, prendas u otros gravámenes que la pudiesen afectar. La infracción de esta estipulación será ca</w:t>
      </w:r>
      <w:r w:rsidR="0085725E">
        <w:rPr>
          <w:rFonts w:ascii="Arial" w:eastAsia="Times New Roman" w:hAnsi="Arial" w:cs="Arial"/>
          <w:color w:val="343434"/>
          <w:szCs w:val="27"/>
          <w:lang w:val="es-CL" w:eastAsia="es-ES"/>
        </w:rPr>
        <w:t>usal suficiente para que Mutual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ponga término anticipado al contrato u orden de compra y sin derecho de indemnización de ninguna especie para el Contratista o Proveedor, circunstancia que éste declara conocer a través de la presente.</w:t>
      </w:r>
    </w:p>
    <w:p w:rsid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No obstante, 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el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Proveedor queda facultado para efectuar operaciones de factoring con instituciones financieras autorizadas, en el marco de la ley 19.983 y de los artículos 1901 y siguientes del Código Civil.</w:t>
      </w:r>
    </w:p>
    <w:p w:rsidR="00957F8D" w:rsidRPr="00E07BF8" w:rsidRDefault="00957F8D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957F8D" w:rsidRPr="00957F8D" w:rsidRDefault="00E07BF8" w:rsidP="00957F8D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957F8D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SOBRE LAS CONDICIONES PARA LA CESION DE CREDITOS (FACTORING)</w:t>
      </w:r>
    </w:p>
    <w:p w:rsidR="00E07BF8" w:rsidRPr="00957F8D" w:rsidRDefault="00E07BF8" w:rsidP="00957F8D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br/>
        <w:t>Conforme con los requerimientos de los sistemas contables d</w:t>
      </w:r>
      <w:r w:rsidR="0085725E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e verificación y pago de Mutual de Seguridad 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y sin que ello implique limitación alguna a los derechos conferido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s por la ley 19.983, LA EMPRESA PRESTADORA DE SERVICIOS 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>o PROVEEDOR, según sea el caso, inform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ará de manera oportuna a Mutual de Seguridad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por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medio del Administrador 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respectivo o el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="0085725E">
        <w:rPr>
          <w:rFonts w:ascii="Arial" w:eastAsia="Times New Roman" w:hAnsi="Arial" w:cs="Arial"/>
          <w:color w:val="343434"/>
          <w:szCs w:val="27"/>
          <w:lang w:val="es-CL" w:eastAsia="es-ES"/>
        </w:rPr>
        <w:t>g</w:t>
      </w:r>
      <w:r w:rsidR="0085725E"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>est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>or</w:t>
      </w:r>
      <w:r w:rsidRPr="00957F8D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 la Orden de Compra indicado en estos documentos, si efectuará o no cesión de los créditos contenidos en las facturas que emanen del Contrato u Orden de Compra, indicando el nombre de la o las empresas de factoring con las cuales operará en cada oportunidad en que efectúa la cesión de créditos contenidos  en las  facturas.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Se 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entenderá que la información a Mutual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="007A69C5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de Seguridad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es oportuna, cuando se ha realizado en tiempos razonables que permitan informar a las distintas un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idades administrativas de Mutual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del cambio de sujeto de pago. En aquellos pagos acordados a 30 días se conviene que se entenderá oportuna aquella información realizada al menos con 15 días de anticipación a la fecha de pago.</w:t>
      </w:r>
    </w:p>
    <w:p w:rsidR="00E07BF8" w:rsidRPr="00E07BF8" w:rsidRDefault="00957F8D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Mutual de Seguridad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se reserva el derecho de reclamar contra el contenido de la f</w:t>
      </w:r>
      <w:r w:rsidR="001B54CC">
        <w:rPr>
          <w:rFonts w:ascii="Arial" w:eastAsia="Times New Roman" w:hAnsi="Arial" w:cs="Arial"/>
          <w:color w:val="343434"/>
          <w:szCs w:val="27"/>
          <w:lang w:val="es-CL" w:eastAsia="es-ES"/>
        </w:rPr>
        <w:t>actura, en el plazo de 8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días corridos desde su </w:t>
      </w:r>
      <w:r w:rsidR="001B54CC">
        <w:rPr>
          <w:rFonts w:ascii="Arial" w:eastAsia="Times New Roman" w:hAnsi="Arial" w:cs="Arial"/>
          <w:color w:val="343434"/>
          <w:szCs w:val="27"/>
          <w:lang w:val="es-CL" w:eastAsia="es-ES"/>
        </w:rPr>
        <w:t>recepción en el SII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para los efectos del </w:t>
      </w:r>
      <w:r w:rsidR="00A729E3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nume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>ral</w:t>
      </w:r>
      <w:r w:rsidR="00E07BF8"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2 del artículo 3° de la Ley 19.983.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Además, toda cesión del crédito contenido en una factu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ra debe ser notificada a Mutual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</w:t>
      </w:r>
      <w:r w:rsidR="0085725E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de Seguridad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de acuerdo con lo establecido en el artículo 4° de la Ley 19.983, o en conformidad a lo establecido en los artículos 1.901 y siguientes del Código Civil, a objeto que pueda disponerse el pago al cesionario o ejercer, en su caso, los derechos que le otorga la Ley.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Para que proceda la cesión del crédito, se requiere: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a) Que la factura haya sido emitida de conformidad a las normas que rijan la emisión de la factura original, incluyendo en su cuerpo en forma destacada la mención "</w:t>
      </w:r>
      <w:r w:rsidRPr="00D31943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cedible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", y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b) Que en la misma conste el </w:t>
      </w:r>
      <w:r w:rsidR="00864F92">
        <w:rPr>
          <w:rFonts w:ascii="Arial" w:eastAsia="Times New Roman" w:hAnsi="Arial" w:cs="Arial"/>
          <w:color w:val="343434"/>
          <w:szCs w:val="27"/>
          <w:lang w:val="es-CL" w:eastAsia="es-ES"/>
        </w:rPr>
        <w:t>Numero de la Orden de Compr</w:t>
      </w:r>
      <w:r w:rsidR="00C52127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a y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recibo de las mercaderías</w:t>
      </w:r>
      <w:r w:rsidR="00864F92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  <w:r w:rsidR="00864F92" w:rsidRPr="00864F92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(MIGO)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entregadas o del servicio prestado, con indicación de la División, lo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calidad y recinto específicos, 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así como la fecha de la entrega de los bienes o de la prestación del servicio, además de estar dirigida a nombre 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de MUTUAL DE SEGURIDAD CCHC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, ro</w:t>
      </w:r>
      <w:r w:rsidR="00957F8D">
        <w:rPr>
          <w:rFonts w:ascii="Arial" w:eastAsia="Times New Roman" w:hAnsi="Arial" w:cs="Arial"/>
          <w:color w:val="343434"/>
          <w:szCs w:val="27"/>
          <w:lang w:val="es-CL" w:eastAsia="es-ES"/>
        </w:rPr>
        <w:t>l único tributario 76.321.001-4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estableciendo como domicilio o dirección de destino, la indicada en </w:t>
      </w:r>
      <w:r w:rsidR="00A729E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la orden de compra, 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para el envío de las facturas.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Además debe incluir la identificación de la persona que recibe el bien o servicio, más la firma de este último.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En caso de que en la copia de la factura no conste el recibo mencionado, sólo será cedible cuando se acompañe una copia de la guía o guías de despacho emitida o emitidas de conformidad a la ley, en las que conste el recibo correspondiente. Para estos efectos, el emisor de la guía o guías de despacho deberá extender una copia adicional a las que la ley exige, con la mención "cedible con su factura".</w:t>
      </w:r>
    </w:p>
    <w:p w:rsidR="00E07BF8" w:rsidRPr="00E07BF8" w:rsidRDefault="00E07BF8" w:rsidP="000A37DB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>Respecto de la cesión de facturas electrónicas, esta podrá efectuarse sólo si se ha dado cumplimiento previo de los requisitos que establece la Ley y su Reglamento, especialmente en lo referente a la inscripción de la transferencia del crédito mediante la incorporación de dichas operaciones en el Registro Electrónico de Cesión de Créditos, disponible en la Oficina Virt</w:t>
      </w:r>
      <w:r w:rsidR="00864F92">
        <w:rPr>
          <w:rFonts w:ascii="Arial" w:eastAsia="Times New Roman" w:hAnsi="Arial" w:cs="Arial"/>
          <w:color w:val="343434"/>
          <w:szCs w:val="27"/>
          <w:lang w:val="es-CL" w:eastAsia="es-ES"/>
        </w:rPr>
        <w:t>ual del SII en Internet. Mutual</w:t>
      </w:r>
      <w:r w:rsidRPr="00E07BF8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rechazará de plano la cesión de créditos contenidos en facturas electrónicas que no se sujeten estrictamente a lo dispuesto precedentemente, sin ulterior responsabilidad y sin perjuicio de las demás medidas que puedan aplicarse respecto de los proveedores o empresas contratistas que se aparten del procedimiento legal para la cesión de los créditos contenidos en estos instrumentos electrónicos.</w:t>
      </w:r>
    </w:p>
    <w:p w:rsidR="00C52127" w:rsidRPr="00E07BF8" w:rsidRDefault="00C52127" w:rsidP="00C52127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C52127" w:rsidRPr="00C52127" w:rsidRDefault="00C52127" w:rsidP="00C5212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INSTRUCCIONES PARA EL ENVIO DE NOTIFICACION</w:t>
      </w:r>
      <w:r w:rsidR="00D31943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 xml:space="preserve"> </w:t>
      </w:r>
      <w:r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DE FACTORING A MUTUAL DE SEGURIDAD CCHC</w:t>
      </w:r>
    </w:p>
    <w:p w:rsidR="00C52127" w:rsidRDefault="00C52127" w:rsidP="00C52127">
      <w:pPr>
        <w:pStyle w:val="Prrafodelista"/>
        <w:ind w:left="360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</w:p>
    <w:p w:rsidR="00C52127" w:rsidRPr="0085725E" w:rsidRDefault="0085725E" w:rsidP="00C52127">
      <w:pPr>
        <w:pStyle w:val="Prrafodelista"/>
        <w:ind w:left="0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85725E">
        <w:rPr>
          <w:rFonts w:ascii="Arial" w:eastAsia="Times New Roman" w:hAnsi="Arial" w:cs="Arial"/>
          <w:b/>
          <w:color w:val="343434"/>
          <w:szCs w:val="27"/>
          <w:highlight w:val="lightGray"/>
          <w:lang w:val="es-CL" w:eastAsia="es-ES"/>
        </w:rPr>
        <w:t>Lugar y Modalidad de Envío</w:t>
      </w:r>
    </w:p>
    <w:p w:rsidR="0085725E" w:rsidRDefault="0085725E" w:rsidP="00C52127">
      <w:pPr>
        <w:pStyle w:val="Prrafodelista"/>
        <w:ind w:left="0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85725E" w:rsidRDefault="0085725E" w:rsidP="0085725E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 w:rsidRPr="00D37043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Notificaciones de facturas Manuales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>:</w:t>
      </w:r>
    </w:p>
    <w:p w:rsidR="0085725E" w:rsidRDefault="0085725E" w:rsidP="0085725E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Toda notificación debe ser dirigida a Mutual de Seguridad CCHC, Atención </w:t>
      </w:r>
      <w:r w:rsidRPr="0085725E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Unidad Control Pago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a nuestra oficina de partes ubicada en Alameda Nª194, Santiago, adjuntando copia de la factura que debe contener Nº de Orden de Compra y Nº de Recepciòn (MIGO), y la recepción conforme del documento. </w:t>
      </w:r>
    </w:p>
    <w:p w:rsidR="0085725E" w:rsidRPr="00D37043" w:rsidRDefault="0085725E" w:rsidP="0085725E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D37043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Notificaciones de facturas electrónicas:</w:t>
      </w:r>
    </w:p>
    <w:p w:rsidR="00D37043" w:rsidRDefault="0085725E" w:rsidP="00D37043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Para el caso de fact</w:t>
      </w:r>
      <w:r w:rsidR="00D37043">
        <w:rPr>
          <w:rFonts w:ascii="Arial" w:eastAsia="Times New Roman" w:hAnsi="Arial" w:cs="Arial"/>
          <w:color w:val="343434"/>
          <w:szCs w:val="27"/>
          <w:lang w:val="es-CL" w:eastAsia="es-ES"/>
        </w:rPr>
        <w:t>u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>ras electrónicas, esta no se debe notificar de forma manual</w:t>
      </w:r>
      <w:r w:rsidR="00D3704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toda vez que su validez se funda en </w:t>
      </w:r>
      <w:r w:rsidR="00014657">
        <w:rPr>
          <w:rFonts w:ascii="Arial" w:eastAsia="Times New Roman" w:hAnsi="Arial" w:cs="Arial"/>
          <w:color w:val="343434"/>
          <w:szCs w:val="27"/>
          <w:lang w:val="es-CL" w:eastAsia="es-ES"/>
        </w:rPr>
        <w:t>las notificaciones enviadas</w:t>
      </w:r>
      <w:r w:rsidR="00D3704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directamente desde el SII. Sin embargo se solicita enviar copia</w:t>
      </w:r>
      <w:r w:rsidR="00014657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de la factura o guía de despacho timbrada</w:t>
      </w:r>
      <w:r w:rsidR="00D3704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, al mail </w:t>
      </w:r>
      <w:hyperlink r:id="rId7" w:history="1">
        <w:r w:rsidR="00D37043" w:rsidRPr="00D25EE7">
          <w:rPr>
            <w:rStyle w:val="Hipervnculo"/>
            <w:rFonts w:ascii="Arial" w:eastAsia="Times New Roman" w:hAnsi="Arial" w:cs="Arial"/>
            <w:szCs w:val="27"/>
            <w:lang w:val="es-CL" w:eastAsia="es-ES"/>
          </w:rPr>
          <w:t>mjuri@mutual.cl</w:t>
        </w:r>
      </w:hyperlink>
      <w:r w:rsidR="00D3704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y </w:t>
      </w:r>
      <w:hyperlink r:id="rId8" w:history="1">
        <w:r w:rsidR="00D37043" w:rsidRPr="00D25EE7">
          <w:rPr>
            <w:rStyle w:val="Hipervnculo"/>
            <w:rFonts w:ascii="Arial" w:eastAsia="Times New Roman" w:hAnsi="Arial" w:cs="Arial"/>
            <w:szCs w:val="27"/>
            <w:lang w:val="es-CL" w:eastAsia="es-ES"/>
          </w:rPr>
          <w:t>mmacuna@mutual.cl</w:t>
        </w:r>
      </w:hyperlink>
    </w:p>
    <w:p w:rsidR="00837E5E" w:rsidRDefault="00D37043" w:rsidP="00D37043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Cada vez que se tome conocimiento de una notificación de Factoring de una factura electrónica que no ha sido recibida por Mutual, se procederá de inmediato al rechazo del documento a la empresa de Factoring, informando en este acto a la empresa o proveedor. Esta notificación se </w:t>
      </w:r>
      <w:r w:rsidR="00D31943">
        <w:rPr>
          <w:rFonts w:ascii="Arial" w:eastAsia="Times New Roman" w:hAnsi="Arial" w:cs="Arial"/>
          <w:color w:val="343434"/>
          <w:szCs w:val="27"/>
          <w:lang w:val="es-CL" w:eastAsia="es-ES"/>
        </w:rPr>
        <w:t>hará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a los correos electrónicos insertos en la comunicación de cesión publicada por el SII.</w:t>
      </w:r>
      <w:r w:rsidR="0085725E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</w:t>
      </w:r>
    </w:p>
    <w:p w:rsidR="00D37043" w:rsidRDefault="00D37043" w:rsidP="00D37043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D37043" w:rsidRDefault="00D37043" w:rsidP="00D37043">
      <w:pPr>
        <w:pStyle w:val="Prrafodelista"/>
        <w:ind w:left="0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D37043">
        <w:rPr>
          <w:rFonts w:ascii="Arial" w:eastAsia="Times New Roman" w:hAnsi="Arial" w:cs="Arial"/>
          <w:b/>
          <w:color w:val="343434"/>
          <w:szCs w:val="27"/>
          <w:highlight w:val="lightGray"/>
          <w:lang w:val="es-CL" w:eastAsia="es-ES"/>
        </w:rPr>
        <w:t>Documentación</w:t>
      </w:r>
    </w:p>
    <w:p w:rsidR="00D37043" w:rsidRDefault="00D37043" w:rsidP="00D37043">
      <w:pPr>
        <w:pStyle w:val="Prrafodelista"/>
        <w:ind w:left="0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</w:p>
    <w:p w:rsidR="00D37043" w:rsidRDefault="00D37043" w:rsidP="00D37043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Copia Cedible de la Factura:</w:t>
      </w:r>
    </w:p>
    <w:p w:rsidR="00D37043" w:rsidRDefault="00D37043" w:rsidP="00D37043">
      <w:pPr>
        <w:pStyle w:val="Prrafodelista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</w:p>
    <w:p w:rsidR="00D37043" w:rsidRDefault="00D37043" w:rsidP="00D37043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La copia de la factura será cedible, o sea apta para la </w:t>
      </w:r>
      <w:r w:rsidR="0060574E">
        <w:rPr>
          <w:rFonts w:ascii="Arial" w:eastAsia="Times New Roman" w:hAnsi="Arial" w:cs="Arial"/>
          <w:color w:val="343434"/>
          <w:szCs w:val="27"/>
          <w:lang w:val="es-CL" w:eastAsia="es-ES"/>
        </w:rPr>
        <w:t>cesión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>, si cumple los siguientes requisitos:</w:t>
      </w:r>
    </w:p>
    <w:p w:rsidR="00D37043" w:rsidRDefault="00D37043" w:rsidP="00D37043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D37043" w:rsidRDefault="00D37043" w:rsidP="00D37043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Es emitida en conformidad a las normas que rigen la emisión de la factura </w:t>
      </w:r>
      <w:r w:rsidR="0013732D">
        <w:rPr>
          <w:rFonts w:ascii="Arial" w:eastAsia="Times New Roman" w:hAnsi="Arial" w:cs="Arial"/>
          <w:color w:val="343434"/>
          <w:szCs w:val="27"/>
          <w:lang w:val="es-CL" w:eastAsia="es-ES"/>
        </w:rPr>
        <w:t>original</w:t>
      </w:r>
    </w:p>
    <w:p w:rsidR="00D37043" w:rsidRDefault="00D37043" w:rsidP="00D37043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Incluye en su cuerpo la mención “cedible”</w:t>
      </w:r>
    </w:p>
    <w:p w:rsidR="00D37043" w:rsidRDefault="0013732D" w:rsidP="0013732D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Todas las facturas emitidas a Mutual de Seguridad CCHC deben contener número de Orden de Compra y número de Recepción Migo en su referencia o detalle.</w:t>
      </w:r>
    </w:p>
    <w:p w:rsidR="0013732D" w:rsidRDefault="0013732D" w:rsidP="0013732D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Para las facturas de bienes y servicios un número de orden de compra el cual comienza 45xxxxxxxx y un número de Migo</w:t>
      </w:r>
      <w:r w:rsidR="00D31943"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o recepción el cual comienza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 500xxxxxx</w:t>
      </w:r>
      <w:r w:rsidR="00BC3626">
        <w:rPr>
          <w:rFonts w:ascii="Arial" w:eastAsia="Times New Roman" w:hAnsi="Arial" w:cs="Arial"/>
          <w:color w:val="343434"/>
          <w:szCs w:val="27"/>
          <w:lang w:val="es-CL" w:eastAsia="es-ES"/>
        </w:rPr>
        <w:t>x</w:t>
      </w:r>
      <w:r>
        <w:rPr>
          <w:rFonts w:ascii="Arial" w:eastAsia="Times New Roman" w:hAnsi="Arial" w:cs="Arial"/>
          <w:color w:val="343434"/>
          <w:szCs w:val="27"/>
          <w:lang w:val="es-CL" w:eastAsia="es-ES"/>
        </w:rPr>
        <w:t>.</w:t>
      </w:r>
    </w:p>
    <w:p w:rsidR="0013732D" w:rsidRDefault="0013732D" w:rsidP="0013732D">
      <w:pPr>
        <w:pStyle w:val="Prrafodelista"/>
        <w:ind w:left="1440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Default="0013732D" w:rsidP="0013732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  <w:r w:rsidRPr="0013732D"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Pago</w:t>
      </w:r>
      <w:r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:</w:t>
      </w:r>
    </w:p>
    <w:p w:rsidR="0013732D" w:rsidRDefault="0013732D" w:rsidP="0013732D">
      <w:pPr>
        <w:pStyle w:val="Prrafodelista"/>
        <w:jc w:val="both"/>
        <w:rPr>
          <w:rFonts w:ascii="Arial" w:eastAsia="Times New Roman" w:hAnsi="Arial" w:cs="Arial"/>
          <w:b/>
          <w:color w:val="343434"/>
          <w:szCs w:val="27"/>
          <w:lang w:val="es-CL" w:eastAsia="es-ES"/>
        </w:rPr>
      </w:pPr>
    </w:p>
    <w:p w:rsidR="0013732D" w:rsidRDefault="0013732D" w:rsidP="0013732D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Todos los pagos a Empresas de Factoring, sin excepción, se harán bajo la modalidad Transferencia Electrónica, a cuenta y banco informados oportunamente.</w:t>
      </w:r>
    </w:p>
    <w:p w:rsidR="0013732D" w:rsidRDefault="0013732D" w:rsidP="0013732D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Default="0013732D" w:rsidP="0013732D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Los días de pago sol Jueves de cada semana.</w:t>
      </w:r>
    </w:p>
    <w:p w:rsidR="0013732D" w:rsidRDefault="0013732D" w:rsidP="0013732D">
      <w:pPr>
        <w:pStyle w:val="Prrafodelista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Pr="0013732D" w:rsidRDefault="0013732D" w:rsidP="0013732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b/>
          <w:color w:val="343434"/>
          <w:szCs w:val="27"/>
          <w:lang w:val="es-CL" w:eastAsia="es-ES"/>
        </w:rPr>
        <w:t>Consultas:</w:t>
      </w:r>
    </w:p>
    <w:p w:rsidR="0013732D" w:rsidRDefault="0013732D" w:rsidP="0013732D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Para corroborar la recepción de la factura puede consultar a través:</w:t>
      </w:r>
    </w:p>
    <w:p w:rsidR="0013732D" w:rsidRDefault="0013732D" w:rsidP="0013732D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Mail: </w:t>
      </w:r>
      <w:hyperlink r:id="rId9" w:history="1">
        <w:r w:rsidR="0060574E" w:rsidRPr="006410C7">
          <w:rPr>
            <w:rStyle w:val="Hipervnculo"/>
            <w:rFonts w:ascii="Arial" w:eastAsia="Times New Roman" w:hAnsi="Arial" w:cs="Arial"/>
            <w:szCs w:val="27"/>
            <w:lang w:val="es-CL" w:eastAsia="es-ES"/>
          </w:rPr>
          <w:t>proveedores@mutual.cl</w:t>
        </w:r>
      </w:hyperlink>
    </w:p>
    <w:p w:rsidR="0013732D" w:rsidRDefault="0013732D" w:rsidP="0013732D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Default="00014657" w:rsidP="0013732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>Consultas sobre pago al Factoring</w:t>
      </w:r>
    </w:p>
    <w:p w:rsidR="00014657" w:rsidRDefault="00014657" w:rsidP="00014657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  <w:r>
        <w:rPr>
          <w:rFonts w:ascii="Arial" w:eastAsia="Times New Roman" w:hAnsi="Arial" w:cs="Arial"/>
          <w:color w:val="343434"/>
          <w:szCs w:val="27"/>
          <w:lang w:val="es-CL" w:eastAsia="es-ES"/>
        </w:rPr>
        <w:t xml:space="preserve">Las consultas que se formulen en relación a las facturas afectas al proceso de Factoring deberán ser formuladas mediante e-mail dirigido a </w:t>
      </w:r>
      <w:hyperlink r:id="rId10" w:history="1">
        <w:r w:rsidRPr="00D25EE7">
          <w:rPr>
            <w:rStyle w:val="Hipervnculo"/>
            <w:rFonts w:ascii="Arial" w:eastAsia="Times New Roman" w:hAnsi="Arial" w:cs="Arial"/>
            <w:szCs w:val="27"/>
            <w:lang w:val="es-CL" w:eastAsia="es-ES"/>
          </w:rPr>
          <w:t>proveedores@mutual.cl</w:t>
        </w:r>
      </w:hyperlink>
    </w:p>
    <w:p w:rsidR="00014657" w:rsidRPr="00014657" w:rsidRDefault="00014657" w:rsidP="00014657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Default="0013732D" w:rsidP="0013732D">
      <w:pPr>
        <w:pStyle w:val="Prrafodelista"/>
        <w:ind w:left="1440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Default="0013732D" w:rsidP="0013732D">
      <w:pPr>
        <w:pStyle w:val="Prrafodelista"/>
        <w:ind w:left="1440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13732D" w:rsidRPr="0013732D" w:rsidRDefault="0013732D" w:rsidP="0013732D">
      <w:pPr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D37043" w:rsidRDefault="00D37043" w:rsidP="00D37043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p w:rsidR="00D37043" w:rsidRPr="000A37DB" w:rsidRDefault="00D37043" w:rsidP="00D37043">
      <w:pPr>
        <w:ind w:left="708"/>
        <w:jc w:val="both"/>
        <w:rPr>
          <w:rFonts w:ascii="Arial" w:eastAsia="Times New Roman" w:hAnsi="Arial" w:cs="Arial"/>
          <w:color w:val="343434"/>
          <w:szCs w:val="27"/>
          <w:lang w:val="es-CL" w:eastAsia="es-ES"/>
        </w:rPr>
      </w:pPr>
    </w:p>
    <w:sectPr w:rsidR="00D37043" w:rsidRPr="000A37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50" w:rsidRDefault="002B7D50" w:rsidP="00014657">
      <w:pPr>
        <w:spacing w:after="0" w:line="240" w:lineRule="auto"/>
      </w:pPr>
      <w:r>
        <w:separator/>
      </w:r>
    </w:p>
  </w:endnote>
  <w:endnote w:type="continuationSeparator" w:id="0">
    <w:p w:rsidR="002B7D50" w:rsidRDefault="002B7D50" w:rsidP="0001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50" w:rsidRDefault="002B7D50" w:rsidP="00014657">
      <w:pPr>
        <w:spacing w:after="0" w:line="240" w:lineRule="auto"/>
      </w:pPr>
      <w:r>
        <w:separator/>
      </w:r>
    </w:p>
  </w:footnote>
  <w:footnote w:type="continuationSeparator" w:id="0">
    <w:p w:rsidR="002B7D50" w:rsidRDefault="002B7D50" w:rsidP="0001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" w:type="dxa"/>
      <w:tblBorders>
        <w:top w:val="double" w:sz="12" w:space="0" w:color="C0C0C0"/>
        <w:left w:val="double" w:sz="12" w:space="0" w:color="C0C0C0"/>
        <w:bottom w:val="double" w:sz="12" w:space="0" w:color="C0C0C0"/>
        <w:right w:val="double" w:sz="12" w:space="0" w:color="C0C0C0"/>
        <w:insideH w:val="double" w:sz="12" w:space="0" w:color="C0C0C0"/>
        <w:insideV w:val="double" w:sz="12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748"/>
      <w:gridCol w:w="1843"/>
    </w:tblGrid>
    <w:tr w:rsidR="00014657" w:rsidRPr="00BF36A1" w:rsidTr="00A16B7F">
      <w:trPr>
        <w:trHeight w:val="1175"/>
      </w:trPr>
      <w:tc>
        <w:tcPr>
          <w:tcW w:w="2411" w:type="dxa"/>
          <w:vAlign w:val="center"/>
        </w:tcPr>
        <w:p w:rsidR="00014657" w:rsidRPr="00BF36A1" w:rsidRDefault="00014657" w:rsidP="00014657">
          <w:pPr>
            <w:pStyle w:val="Encabezado"/>
            <w:rPr>
              <w:rFonts w:ascii="Tahoma" w:hAnsi="Tahoma" w:cs="Tahoma"/>
              <w:b/>
            </w:rPr>
          </w:pPr>
          <w:bookmarkStart w:id="0" w:name="OLE_LINK1"/>
          <w:r>
            <w:rPr>
              <w:noProof/>
              <w:color w:val="1F497D"/>
              <w:lang w:val="es-CL" w:eastAsia="es-CL"/>
            </w:rPr>
            <w:drawing>
              <wp:inline distT="0" distB="0" distL="0" distR="0" wp14:anchorId="796643E1" wp14:editId="63470A12">
                <wp:extent cx="1311275" cy="534670"/>
                <wp:effectExtent l="19050" t="0" r="3175" b="0"/>
                <wp:docPr id="9" name="Imagen 2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748" w:type="dxa"/>
          <w:vAlign w:val="center"/>
        </w:tcPr>
        <w:p w:rsidR="00014657" w:rsidRPr="00BF36A1" w:rsidRDefault="00014657" w:rsidP="00014657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PROCEDIMIENTO PARA USO DE FACTORING</w:t>
          </w:r>
        </w:p>
      </w:tc>
      <w:tc>
        <w:tcPr>
          <w:tcW w:w="1843" w:type="dxa"/>
        </w:tcPr>
        <w:p w:rsidR="00014657" w:rsidRPr="00BF36A1" w:rsidRDefault="00014657" w:rsidP="00014657">
          <w:pPr>
            <w:pStyle w:val="Encabezado"/>
            <w:rPr>
              <w:rFonts w:ascii="Tahoma" w:hAnsi="Tahoma" w:cs="Tahoma"/>
            </w:rPr>
          </w:pPr>
        </w:p>
        <w:p w:rsidR="00014657" w:rsidRPr="00BF36A1" w:rsidRDefault="00014657" w:rsidP="00014657">
          <w:pPr>
            <w:pStyle w:val="Encabezado"/>
            <w:rPr>
              <w:rFonts w:ascii="Tahoma" w:hAnsi="Tahoma" w:cs="Tahoma"/>
            </w:rPr>
          </w:pPr>
          <w:r w:rsidRPr="00BF36A1">
            <w:rPr>
              <w:rFonts w:ascii="Tahoma" w:hAnsi="Tahoma" w:cs="Tahoma"/>
            </w:rPr>
            <w:t xml:space="preserve">Versión </w:t>
          </w:r>
          <w:r>
            <w:rPr>
              <w:rFonts w:ascii="Tahoma" w:hAnsi="Tahoma" w:cs="Tahoma"/>
            </w:rPr>
            <w:t>01</w:t>
          </w:r>
        </w:p>
        <w:p w:rsidR="00014657" w:rsidRPr="00BF36A1" w:rsidRDefault="00014657" w:rsidP="00014657">
          <w:pPr>
            <w:pStyle w:val="Encabezado"/>
            <w:rPr>
              <w:rFonts w:ascii="Tahoma" w:hAnsi="Tahoma" w:cs="Tahoma"/>
              <w:b/>
            </w:rPr>
          </w:pPr>
          <w:r w:rsidRPr="00BF36A1">
            <w:rPr>
              <w:rFonts w:ascii="Tahoma" w:hAnsi="Tahoma" w:cs="Tahoma"/>
              <w:snapToGrid w:val="0"/>
            </w:rPr>
            <w:t xml:space="preserve">Hoja </w:t>
          </w:r>
          <w:r w:rsidRPr="00BF36A1">
            <w:rPr>
              <w:rFonts w:ascii="Tahoma" w:hAnsi="Tahoma" w:cs="Tahoma"/>
              <w:snapToGrid w:val="0"/>
            </w:rPr>
            <w:fldChar w:fldCharType="begin"/>
          </w:r>
          <w:r w:rsidRPr="00BF36A1">
            <w:rPr>
              <w:rFonts w:ascii="Tahoma" w:hAnsi="Tahoma" w:cs="Tahoma"/>
              <w:snapToGrid w:val="0"/>
            </w:rPr>
            <w:instrText xml:space="preserve"> PAGE </w:instrText>
          </w:r>
          <w:r w:rsidRPr="00BF36A1">
            <w:rPr>
              <w:rFonts w:ascii="Tahoma" w:hAnsi="Tahoma" w:cs="Tahoma"/>
              <w:snapToGrid w:val="0"/>
            </w:rPr>
            <w:fldChar w:fldCharType="separate"/>
          </w:r>
          <w:r w:rsidR="00F120C2">
            <w:rPr>
              <w:rFonts w:ascii="Tahoma" w:hAnsi="Tahoma" w:cs="Tahoma"/>
              <w:noProof/>
              <w:snapToGrid w:val="0"/>
            </w:rPr>
            <w:t>1</w:t>
          </w:r>
          <w:r w:rsidRPr="00BF36A1">
            <w:rPr>
              <w:rFonts w:ascii="Tahoma" w:hAnsi="Tahoma" w:cs="Tahoma"/>
              <w:snapToGrid w:val="0"/>
            </w:rPr>
            <w:fldChar w:fldCharType="end"/>
          </w:r>
          <w:r w:rsidRPr="00BF36A1">
            <w:rPr>
              <w:rFonts w:ascii="Tahoma" w:hAnsi="Tahoma" w:cs="Tahoma"/>
              <w:snapToGrid w:val="0"/>
            </w:rPr>
            <w:t xml:space="preserve"> de </w:t>
          </w:r>
          <w:r w:rsidRPr="00BF36A1">
            <w:rPr>
              <w:rFonts w:ascii="Tahoma" w:hAnsi="Tahoma" w:cs="Tahoma"/>
              <w:snapToGrid w:val="0"/>
            </w:rPr>
            <w:fldChar w:fldCharType="begin"/>
          </w:r>
          <w:r w:rsidRPr="00BF36A1">
            <w:rPr>
              <w:rFonts w:ascii="Tahoma" w:hAnsi="Tahoma" w:cs="Tahoma"/>
              <w:snapToGrid w:val="0"/>
            </w:rPr>
            <w:instrText xml:space="preserve"> NUMPAGES </w:instrText>
          </w:r>
          <w:r w:rsidRPr="00BF36A1">
            <w:rPr>
              <w:rFonts w:ascii="Tahoma" w:hAnsi="Tahoma" w:cs="Tahoma"/>
              <w:snapToGrid w:val="0"/>
            </w:rPr>
            <w:fldChar w:fldCharType="separate"/>
          </w:r>
          <w:r w:rsidR="00F120C2">
            <w:rPr>
              <w:rFonts w:ascii="Tahoma" w:hAnsi="Tahoma" w:cs="Tahoma"/>
              <w:noProof/>
              <w:snapToGrid w:val="0"/>
            </w:rPr>
            <w:t>5</w:t>
          </w:r>
          <w:r w:rsidRPr="00BF36A1">
            <w:rPr>
              <w:rFonts w:ascii="Tahoma" w:hAnsi="Tahoma" w:cs="Tahoma"/>
              <w:snapToGrid w:val="0"/>
            </w:rPr>
            <w:fldChar w:fldCharType="end"/>
          </w:r>
        </w:p>
      </w:tc>
    </w:tr>
  </w:tbl>
  <w:p w:rsidR="00014657" w:rsidRPr="00014657" w:rsidRDefault="00014657" w:rsidP="00014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175"/>
    <w:multiLevelType w:val="hybridMultilevel"/>
    <w:tmpl w:val="BB22950C"/>
    <w:lvl w:ilvl="0" w:tplc="559804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E2C"/>
    <w:multiLevelType w:val="multilevel"/>
    <w:tmpl w:val="F16082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C7099"/>
    <w:multiLevelType w:val="hybridMultilevel"/>
    <w:tmpl w:val="AEBAB8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42B2B"/>
    <w:multiLevelType w:val="multilevel"/>
    <w:tmpl w:val="F4B0BEA6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ahoma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08"/>
        </w:tabs>
        <w:ind w:left="708" w:hanging="708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552"/>
        </w:tabs>
        <w:ind w:left="2552" w:hanging="708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134"/>
        </w:tabs>
        <w:ind w:left="1134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5E441A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74A50"/>
    <w:multiLevelType w:val="hybridMultilevel"/>
    <w:tmpl w:val="08E81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8"/>
    <w:rsid w:val="00014657"/>
    <w:rsid w:val="000A37DB"/>
    <w:rsid w:val="000C673A"/>
    <w:rsid w:val="000C6A2C"/>
    <w:rsid w:val="0013732D"/>
    <w:rsid w:val="001B54CC"/>
    <w:rsid w:val="002B7D50"/>
    <w:rsid w:val="0059199A"/>
    <w:rsid w:val="0060574E"/>
    <w:rsid w:val="007A69C5"/>
    <w:rsid w:val="00837E5E"/>
    <w:rsid w:val="0085725E"/>
    <w:rsid w:val="00864F92"/>
    <w:rsid w:val="00957F8D"/>
    <w:rsid w:val="00994369"/>
    <w:rsid w:val="00A729E3"/>
    <w:rsid w:val="00AC2D30"/>
    <w:rsid w:val="00B62070"/>
    <w:rsid w:val="00BC3626"/>
    <w:rsid w:val="00C35950"/>
    <w:rsid w:val="00C52127"/>
    <w:rsid w:val="00C9610F"/>
    <w:rsid w:val="00D31943"/>
    <w:rsid w:val="00D37043"/>
    <w:rsid w:val="00DD5E30"/>
    <w:rsid w:val="00E07BF8"/>
    <w:rsid w:val="00E419E1"/>
    <w:rsid w:val="00F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FA2F79-CC27-441B-92EC-DB8D02F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37DB"/>
    <w:pPr>
      <w:keepNext/>
      <w:numPr>
        <w:numId w:val="1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A37DB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es-ES"/>
    </w:rPr>
  </w:style>
  <w:style w:type="paragraph" w:styleId="Ttulo3">
    <w:name w:val="heading 3"/>
    <w:aliases w:val="Edgar 3,título 3"/>
    <w:basedOn w:val="Normal"/>
    <w:next w:val="Normal"/>
    <w:link w:val="Ttulo3Car"/>
    <w:qFormat/>
    <w:rsid w:val="000A37DB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0A37DB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Cs/>
      <w:i/>
      <w:sz w:val="20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0A37D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0A37D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0A37D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0A37D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0A37D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37DB"/>
    <w:rPr>
      <w:rFonts w:ascii="Arial" w:eastAsia="Times New Roman" w:hAnsi="Arial" w:cs="Times New Roman"/>
      <w:b/>
      <w:caps/>
      <w:kern w:val="28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A37DB"/>
    <w:rPr>
      <w:rFonts w:ascii="Arial" w:eastAsia="Times New Roman" w:hAnsi="Arial" w:cs="Arial"/>
      <w:b/>
      <w:bCs/>
      <w:iCs/>
      <w:sz w:val="20"/>
      <w:szCs w:val="28"/>
      <w:lang w:eastAsia="es-ES"/>
    </w:rPr>
  </w:style>
  <w:style w:type="character" w:customStyle="1" w:styleId="Ttulo3Car">
    <w:name w:val="Título 3 Car"/>
    <w:aliases w:val="Edgar 3 Car,título 3 Car"/>
    <w:basedOn w:val="Fuentedeprrafopredeter"/>
    <w:link w:val="Ttulo3"/>
    <w:rsid w:val="000A37DB"/>
    <w:rPr>
      <w:rFonts w:ascii="Arial" w:eastAsia="Times New Roman" w:hAnsi="Arial" w:cs="Arial"/>
      <w:b/>
      <w:bCs/>
      <w:i/>
      <w:sz w:val="20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A37DB"/>
    <w:rPr>
      <w:rFonts w:ascii="Arial" w:eastAsia="Times New Roman" w:hAnsi="Arial" w:cs="Times New Roman"/>
      <w:bCs/>
      <w:i/>
      <w:sz w:val="20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A37DB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A37DB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A37D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A37DB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A37DB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37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70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1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657"/>
  </w:style>
  <w:style w:type="paragraph" w:styleId="Piedepgina">
    <w:name w:val="footer"/>
    <w:basedOn w:val="Normal"/>
    <w:link w:val="PiedepginaCar"/>
    <w:uiPriority w:val="99"/>
    <w:unhideWhenUsed/>
    <w:rsid w:val="0001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657"/>
  </w:style>
  <w:style w:type="character" w:customStyle="1" w:styleId="st1">
    <w:name w:val="st1"/>
    <w:basedOn w:val="Fuentedeprrafopredeter"/>
    <w:rsid w:val="000C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19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6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390">
                          <w:blockQuote w:val="1"/>
                          <w:marLeft w:val="22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1253">
                          <w:blockQuote w:val="1"/>
                          <w:marLeft w:val="22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cuna@mutu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uri@mutua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veedores@mutu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eedores@mutu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7C42.70FFC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Mutual de Seguridad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Acuña B</dc:creator>
  <cp:keywords/>
  <dc:description/>
  <cp:lastModifiedBy>Monica Acuña B</cp:lastModifiedBy>
  <cp:revision>9</cp:revision>
  <dcterms:created xsi:type="dcterms:W3CDTF">2016-07-15T19:01:00Z</dcterms:created>
  <dcterms:modified xsi:type="dcterms:W3CDTF">2017-07-20T20:32:00Z</dcterms:modified>
</cp:coreProperties>
</file>